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9606"/>
      </w:tblGrid>
      <w:tr w:rsidR="00CE39EE" w:rsidRPr="00B165FC" w:rsidTr="00D6336C">
        <w:trPr>
          <w:gridBefore w:val="1"/>
          <w:wBefore w:w="34" w:type="dxa"/>
          <w:trHeight w:val="592"/>
        </w:trPr>
        <w:tc>
          <w:tcPr>
            <w:tcW w:w="9606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D6336C">
        <w:trPr>
          <w:trHeight w:val="11057"/>
        </w:trPr>
        <w:tc>
          <w:tcPr>
            <w:tcW w:w="9640" w:type="dxa"/>
            <w:gridSpan w:val="2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AB7027" w:rsidP="00DB15C9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CD102D" w:rsidRPr="00401E04">
                    <w:rPr>
                      <w:sz w:val="28"/>
                      <w:szCs w:val="28"/>
                    </w:rPr>
                    <w:t xml:space="preserve"> июл</w:t>
                  </w:r>
                  <w:r w:rsidR="002E1BB4" w:rsidRPr="00401E04">
                    <w:rPr>
                      <w:sz w:val="28"/>
                      <w:szCs w:val="28"/>
                    </w:rPr>
                    <w:t>я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2E1BB4" w:rsidP="0086561F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0</w:t>
                  </w:r>
                  <w:r w:rsidR="00AB7027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86561F">
                    <w:rPr>
                      <w:sz w:val="28"/>
                      <w:szCs w:val="28"/>
                    </w:rPr>
                    <w:t>20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657C09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39CE" w:rsidRDefault="0086561F" w:rsidP="00D6336C">
            <w:pPr>
              <w:spacing w:before="360" w:after="36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 xml:space="preserve">Об ответственных по контролю за получением, передачей, хранением и погашением неиспользованных открепительных удостоверений на </w:t>
            </w:r>
            <w:r w:rsidR="000339CE">
              <w:rPr>
                <w:b/>
                <w:bCs/>
                <w:sz w:val="28"/>
                <w:szCs w:val="20"/>
              </w:rPr>
              <w:t>выбор</w:t>
            </w:r>
            <w:r>
              <w:rPr>
                <w:b/>
                <w:bCs/>
                <w:sz w:val="28"/>
                <w:szCs w:val="20"/>
              </w:rPr>
              <w:t>ах</w:t>
            </w:r>
            <w:r w:rsidR="000339CE">
              <w:rPr>
                <w:b/>
                <w:bCs/>
                <w:sz w:val="28"/>
                <w:szCs w:val="20"/>
              </w:rPr>
              <w:t xml:space="preserve"> депутатов Государственной Думы Федерального Собрания Российской Федерации седьмого созыва</w:t>
            </w:r>
            <w:r>
              <w:rPr>
                <w:b/>
                <w:bCs/>
                <w:sz w:val="28"/>
                <w:szCs w:val="20"/>
              </w:rPr>
              <w:t>, губернатора тверской области и депутатов Законодательного Собрания Тверской области</w:t>
            </w:r>
          </w:p>
          <w:p w:rsidR="000339CE" w:rsidRDefault="000339CE" w:rsidP="00887F58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0"/>
              </w:rPr>
            </w:pPr>
            <w:r w:rsidRPr="005C5349">
              <w:rPr>
                <w:sz w:val="28"/>
                <w:szCs w:val="20"/>
              </w:rPr>
              <w:t xml:space="preserve">В соответствии со статьями  </w:t>
            </w:r>
            <w:r w:rsidR="00C20487">
              <w:rPr>
                <w:sz w:val="28"/>
                <w:szCs w:val="20"/>
              </w:rPr>
              <w:t>30</w:t>
            </w:r>
            <w:r w:rsidR="001B63D2">
              <w:rPr>
                <w:sz w:val="28"/>
                <w:szCs w:val="20"/>
              </w:rPr>
              <w:t xml:space="preserve">, 70 </w:t>
            </w:r>
            <w:r w:rsidRPr="005C5349">
              <w:rPr>
                <w:sz w:val="28"/>
                <w:szCs w:val="20"/>
              </w:rPr>
              <w:t xml:space="preserve"> Федерального закона </w:t>
            </w:r>
            <w:r w:rsidRPr="005C5349">
              <w:rPr>
                <w:sz w:val="28"/>
                <w:szCs w:val="28"/>
              </w:rPr>
              <w:t>от 22.02.2014 г. № 20-ФЗ</w:t>
            </w:r>
            <w:r w:rsidRPr="005C5349">
              <w:rPr>
                <w:sz w:val="28"/>
                <w:szCs w:val="20"/>
              </w:rPr>
              <w:t xml:space="preserve"> «О выборах депутатов Государственной Думы Федерального Собрания Российской Федерации», </w:t>
            </w:r>
            <w:r w:rsidR="001B63D2">
              <w:rPr>
                <w:sz w:val="28"/>
                <w:szCs w:val="20"/>
              </w:rPr>
              <w:t xml:space="preserve">пунктом 10 статьи 22, Избирательного кодекса тверской области от 07.04.2003 №20-ЗО, разделами </w:t>
            </w:r>
            <w:r w:rsidR="001B63D2">
              <w:rPr>
                <w:sz w:val="28"/>
                <w:szCs w:val="20"/>
                <w:lang w:val="en-US"/>
              </w:rPr>
              <w:t>II</w:t>
            </w:r>
            <w:r w:rsidR="001B63D2" w:rsidRPr="001B63D2">
              <w:rPr>
                <w:sz w:val="28"/>
                <w:szCs w:val="20"/>
              </w:rPr>
              <w:t xml:space="preserve"> </w:t>
            </w:r>
            <w:r w:rsidR="001B63D2">
              <w:rPr>
                <w:sz w:val="28"/>
                <w:szCs w:val="20"/>
              </w:rPr>
              <w:t xml:space="preserve">и </w:t>
            </w:r>
            <w:r w:rsidR="001B63D2">
              <w:rPr>
                <w:sz w:val="28"/>
                <w:szCs w:val="20"/>
                <w:lang w:val="en-US"/>
              </w:rPr>
              <w:t>III</w:t>
            </w:r>
            <w:r w:rsidR="001B63D2" w:rsidRPr="001B63D2">
              <w:rPr>
                <w:sz w:val="28"/>
                <w:szCs w:val="20"/>
              </w:rPr>
              <w:t xml:space="preserve">  </w:t>
            </w:r>
            <w:r w:rsidR="001B63D2">
              <w:rPr>
                <w:sz w:val="28"/>
                <w:szCs w:val="20"/>
              </w:rPr>
              <w:t xml:space="preserve"> Порядка передачи открепительных удостоверений избирательны комиссиям, комиссиям референдума и учета открепительных удостоверений, утвержденного </w:t>
            </w:r>
            <w:r w:rsidRPr="005C5349">
              <w:rPr>
                <w:sz w:val="28"/>
                <w:szCs w:val="20"/>
              </w:rPr>
              <w:t xml:space="preserve">постановлением Центральной избирательной комиссии Российской Федерации от </w:t>
            </w:r>
            <w:r w:rsidR="001B63D2">
              <w:rPr>
                <w:sz w:val="28"/>
                <w:szCs w:val="20"/>
              </w:rPr>
              <w:t>16</w:t>
            </w:r>
            <w:r w:rsidRPr="005C5349">
              <w:rPr>
                <w:sz w:val="28"/>
                <w:szCs w:val="20"/>
              </w:rPr>
              <w:t>.0</w:t>
            </w:r>
            <w:r w:rsidR="001B63D2">
              <w:rPr>
                <w:sz w:val="28"/>
                <w:szCs w:val="20"/>
              </w:rPr>
              <w:t>3</w:t>
            </w:r>
            <w:r w:rsidRPr="005C5349">
              <w:rPr>
                <w:sz w:val="28"/>
                <w:szCs w:val="20"/>
              </w:rPr>
              <w:t>.2016 г. №</w:t>
            </w:r>
            <w:r w:rsidR="001B63D2">
              <w:rPr>
                <w:sz w:val="28"/>
                <w:szCs w:val="20"/>
              </w:rPr>
              <w:t>328</w:t>
            </w:r>
            <w:r w:rsidRPr="005C5349">
              <w:rPr>
                <w:sz w:val="28"/>
                <w:szCs w:val="20"/>
              </w:rPr>
              <w:t>/</w:t>
            </w:r>
            <w:r w:rsidR="007377CA">
              <w:rPr>
                <w:sz w:val="28"/>
                <w:szCs w:val="20"/>
              </w:rPr>
              <w:t xml:space="preserve">1863-6 территориальная избирательная </w:t>
            </w:r>
            <w:r>
              <w:rPr>
                <w:sz w:val="28"/>
                <w:szCs w:val="20"/>
              </w:rPr>
              <w:t xml:space="preserve"> комиссия </w:t>
            </w:r>
            <w:r w:rsidR="007377CA">
              <w:rPr>
                <w:sz w:val="28"/>
                <w:szCs w:val="20"/>
              </w:rPr>
              <w:t>Кесовогорского района,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pacing w:val="40"/>
                <w:sz w:val="28"/>
                <w:szCs w:val="28"/>
              </w:rPr>
              <w:t xml:space="preserve"> постановляет</w:t>
            </w:r>
            <w:r>
              <w:rPr>
                <w:b/>
                <w:bCs/>
                <w:sz w:val="28"/>
                <w:szCs w:val="20"/>
              </w:rPr>
              <w:t>:</w:t>
            </w:r>
          </w:p>
          <w:p w:rsidR="00D6336C" w:rsidRDefault="00D6336C" w:rsidP="00887F58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  <w:p w:rsidR="008A65E9" w:rsidRPr="00AB7027" w:rsidRDefault="007377CA" w:rsidP="00AB7027">
            <w:pPr>
              <w:pStyle w:val="3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709"/>
              <w:jc w:val="both"/>
              <w:rPr>
                <w:b/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Назначить ответственными по контролю за получением открепительных удостоверений, передачей открепительных удостоверений в участковые избирательные комиссии, хранением открепительных удостоверений в резерве территориальной избирательной комиссии Кесовогорского района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 членов территориальной избирательной </w:t>
            </w:r>
            <w:r>
              <w:rPr>
                <w:sz w:val="28"/>
                <w:szCs w:val="28"/>
              </w:rPr>
              <w:lastRenderedPageBreak/>
              <w:t>комиссии Кесовогорского района с правом решающего голоса Тарасова Вячеслава Геннадьевича, Никулину Наталью Викторовну, Суслову Марину Борисовну</w:t>
            </w:r>
            <w:r w:rsidR="00AB7027">
              <w:rPr>
                <w:sz w:val="28"/>
                <w:szCs w:val="28"/>
              </w:rPr>
              <w:t>.</w:t>
            </w:r>
          </w:p>
          <w:p w:rsidR="00AB7027" w:rsidRPr="00AB7027" w:rsidRDefault="007377CA" w:rsidP="00AB7027">
            <w:pPr>
              <w:pStyle w:val="31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360" w:lineRule="auto"/>
              <w:ind w:left="0" w:firstLine="709"/>
              <w:jc w:val="both"/>
              <w:rPr>
                <w:b/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настоящее постановление на сайте территориальной избирательной комиссии Кесовогорского района в информационно-коммуникационной сети «Интернет» </w:t>
            </w:r>
            <w:r w:rsidR="00AB7027">
              <w:rPr>
                <w:sz w:val="28"/>
                <w:szCs w:val="28"/>
              </w:rPr>
              <w:t>.</w:t>
            </w:r>
          </w:p>
          <w:tbl>
            <w:tblPr>
              <w:tblW w:w="13981" w:type="dxa"/>
              <w:tblLayout w:type="fixed"/>
              <w:tblLook w:val="0000"/>
            </w:tblPr>
            <w:tblGrid>
              <w:gridCol w:w="4661"/>
              <w:gridCol w:w="4483"/>
              <w:gridCol w:w="354"/>
              <w:gridCol w:w="4483"/>
            </w:tblGrid>
            <w:tr w:rsidR="00AB7027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F846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Председатель</w:t>
                  </w:r>
                </w:p>
                <w:p w:rsidR="00AB7027" w:rsidRDefault="00AB7027" w:rsidP="00F8460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074126" w:rsidRDefault="00AB7027" w:rsidP="00F8460A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  <w:r w:rsidRPr="00A35822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  <w:t xml:space="preserve">                                     В.Г. Тарасов</w:t>
                  </w:r>
                </w:p>
              </w:tc>
            </w:tr>
            <w:tr w:rsidR="00AB7027" w:rsidRPr="006200A8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F8460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7027" w:rsidRPr="006200A8" w:rsidRDefault="00AB7027" w:rsidP="00F846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074126" w:rsidRDefault="00AB7027" w:rsidP="00F8460A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027" w:rsidTr="00AB7027">
              <w:trPr>
                <w:trHeight w:val="1699"/>
              </w:trPr>
              <w:tc>
                <w:tcPr>
                  <w:tcW w:w="9144" w:type="dxa"/>
                  <w:gridSpan w:val="2"/>
                </w:tcPr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Секретарь</w:t>
                  </w:r>
                </w:p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территориальной избирательной</w:t>
                  </w:r>
                </w:p>
                <w:p w:rsidR="00AB7027" w:rsidRPr="00887F58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комиссии Кесовогорского района                                           Н.В. Никулина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074126" w:rsidRDefault="00AB7027" w:rsidP="00AB702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</w:p>
              </w:tc>
            </w:tr>
          </w:tbl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Pr="005C5349" w:rsidRDefault="00D6336C" w:rsidP="00D6336C">
            <w:pPr>
              <w:ind w:left="4320"/>
              <w:jc w:val="center"/>
              <w:rPr>
                <w:sz w:val="28"/>
              </w:rPr>
            </w:pPr>
            <w:r w:rsidRPr="005C5349">
              <w:rPr>
                <w:sz w:val="28"/>
              </w:rPr>
              <w:t>Приложение</w:t>
            </w:r>
          </w:p>
          <w:p w:rsidR="00D6336C" w:rsidRPr="005C5349" w:rsidRDefault="00D6336C" w:rsidP="00D6336C">
            <w:pPr>
              <w:ind w:left="4320"/>
              <w:jc w:val="center"/>
              <w:rPr>
                <w:sz w:val="28"/>
              </w:rPr>
            </w:pPr>
            <w:r w:rsidRPr="005C5349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5C5349">
              <w:rPr>
                <w:sz w:val="28"/>
              </w:rPr>
              <w:t xml:space="preserve">избирательной </w:t>
            </w:r>
            <w:r>
              <w:rPr>
                <w:sz w:val="28"/>
              </w:rPr>
              <w:t>комиссии</w:t>
            </w:r>
          </w:p>
          <w:p w:rsidR="00D6336C" w:rsidRPr="005C5349" w:rsidRDefault="00D6336C" w:rsidP="00D6336C">
            <w:pPr>
              <w:ind w:left="4320"/>
              <w:jc w:val="center"/>
              <w:rPr>
                <w:sz w:val="28"/>
              </w:rPr>
            </w:pPr>
            <w:r>
              <w:rPr>
                <w:sz w:val="28"/>
              </w:rPr>
              <w:t>Кесовогорского района</w:t>
            </w:r>
            <w:r w:rsidRPr="005C5349">
              <w:rPr>
                <w:sz w:val="28"/>
              </w:rPr>
              <w:t xml:space="preserve"> </w:t>
            </w: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  <w:r w:rsidRPr="005C5349">
              <w:rPr>
                <w:sz w:val="28"/>
              </w:rPr>
              <w:t xml:space="preserve">от </w:t>
            </w:r>
            <w:r>
              <w:rPr>
                <w:sz w:val="28"/>
              </w:rPr>
              <w:t>29</w:t>
            </w:r>
            <w:r w:rsidRPr="005C5349">
              <w:rPr>
                <w:sz w:val="28"/>
              </w:rPr>
              <w:t xml:space="preserve"> июля  2016 г. № </w:t>
            </w:r>
            <w:r>
              <w:rPr>
                <w:sz w:val="28"/>
              </w:rPr>
              <w:t>05</w:t>
            </w:r>
            <w:r>
              <w:rPr>
                <w:sz w:val="28"/>
                <w:szCs w:val="28"/>
              </w:rPr>
              <w:t>/19-3</w:t>
            </w:r>
            <w:r w:rsidRPr="005C5349">
              <w:rPr>
                <w:sz w:val="28"/>
              </w:rPr>
              <w:t xml:space="preserve"> </w:t>
            </w:r>
          </w:p>
          <w:p w:rsidR="00D6336C" w:rsidRPr="005C5349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Pr="00D6336C" w:rsidRDefault="00D6336C" w:rsidP="00D6336C">
            <w:pPr>
              <w:pStyle w:val="3"/>
              <w:spacing w:line="276" w:lineRule="auto"/>
              <w:jc w:val="center"/>
              <w:rPr>
                <w:rFonts w:ascii="Times New Roman" w:hAnsi="Times New Roman"/>
                <w:bCs w:val="0"/>
              </w:rPr>
            </w:pPr>
            <w:r w:rsidRPr="00D6336C">
              <w:rPr>
                <w:rFonts w:ascii="Times New Roman" w:hAnsi="Times New Roman"/>
                <w:bCs w:val="0"/>
              </w:rPr>
              <w:t>Размер дополнительной оплаты труда</w:t>
            </w:r>
          </w:p>
          <w:p w:rsidR="00D6336C" w:rsidRPr="00D6336C" w:rsidRDefault="00D6336C" w:rsidP="00D6336C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D6336C">
              <w:rPr>
                <w:b/>
                <w:sz w:val="26"/>
                <w:szCs w:val="26"/>
              </w:rPr>
              <w:t xml:space="preserve">председателю, заместителю председателя, секретарю и члену </w:t>
            </w:r>
            <w:r>
              <w:rPr>
                <w:b/>
                <w:sz w:val="26"/>
                <w:szCs w:val="26"/>
              </w:rPr>
              <w:t>участковой</w:t>
            </w:r>
            <w:r w:rsidRPr="00D6336C">
              <w:rPr>
                <w:b/>
                <w:sz w:val="26"/>
                <w:szCs w:val="26"/>
              </w:rPr>
              <w:t xml:space="preserve"> избирательной комиссии </w:t>
            </w:r>
            <w:r>
              <w:rPr>
                <w:b/>
                <w:sz w:val="26"/>
                <w:szCs w:val="26"/>
              </w:rPr>
              <w:t>Кесовогорского района</w:t>
            </w:r>
            <w:r w:rsidRPr="00D6336C">
              <w:rPr>
                <w:b/>
                <w:sz w:val="26"/>
                <w:szCs w:val="26"/>
              </w:rPr>
              <w:t xml:space="preserve"> за 1 час работы в </w:t>
            </w:r>
            <w:r>
              <w:rPr>
                <w:b/>
                <w:sz w:val="26"/>
                <w:szCs w:val="26"/>
              </w:rPr>
              <w:t>участковой</w:t>
            </w:r>
            <w:r w:rsidRPr="00D6336C">
              <w:rPr>
                <w:b/>
                <w:sz w:val="26"/>
                <w:szCs w:val="26"/>
              </w:rPr>
              <w:t xml:space="preserve"> избирательной комиссии в будние дни (с 6.00 до 22.00) в период подготовки и проведения выборов депутатов Государственной Думы Федерального Собрания Российской Федерации седьмого созыва</w:t>
            </w:r>
          </w:p>
          <w:p w:rsidR="00D6336C" w:rsidRPr="005C5349" w:rsidRDefault="00D6336C" w:rsidP="00D6336C">
            <w:pPr>
              <w:spacing w:after="120"/>
              <w:jc w:val="center"/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"/>
              <w:gridCol w:w="3960"/>
              <w:gridCol w:w="1726"/>
              <w:gridCol w:w="1559"/>
              <w:gridCol w:w="1250"/>
            </w:tblGrid>
            <w:tr w:rsidR="00D6336C" w:rsidRPr="005C5349" w:rsidTr="00D6336C">
              <w:trPr>
                <w:cantSplit/>
                <w:trHeight w:val="323"/>
                <w:tblHeader/>
              </w:trPr>
              <w:tc>
                <w:tcPr>
                  <w:tcW w:w="540" w:type="dxa"/>
                  <w:vMerge w:val="restart"/>
                  <w:vAlign w:val="center"/>
                </w:tcPr>
                <w:p w:rsidR="00D6336C" w:rsidRPr="005C5349" w:rsidRDefault="00D6336C" w:rsidP="00F8460A">
                  <w:pPr>
                    <w:jc w:val="center"/>
                  </w:pPr>
                  <w:r w:rsidRPr="005C5349">
                    <w:t>№</w:t>
                  </w:r>
                </w:p>
                <w:p w:rsidR="00D6336C" w:rsidRPr="005C5349" w:rsidRDefault="00D6336C" w:rsidP="00F8460A">
                  <w:pPr>
                    <w:jc w:val="center"/>
                  </w:pPr>
                  <w:r w:rsidRPr="005C5349">
                    <w:t>п/п</w:t>
                  </w:r>
                </w:p>
              </w:tc>
              <w:tc>
                <w:tcPr>
                  <w:tcW w:w="3960" w:type="dxa"/>
                  <w:vMerge w:val="restart"/>
                  <w:vAlign w:val="center"/>
                </w:tcPr>
                <w:p w:rsidR="00D6336C" w:rsidRDefault="00D6336C" w:rsidP="00F8460A">
                  <w:pPr>
                    <w:jc w:val="center"/>
                  </w:pPr>
                  <w:r>
                    <w:t xml:space="preserve">Номер </w:t>
                  </w:r>
                </w:p>
                <w:p w:rsidR="00D6336C" w:rsidRPr="005C5349" w:rsidRDefault="00D6336C" w:rsidP="00F8460A">
                  <w:pPr>
                    <w:jc w:val="center"/>
                  </w:pPr>
                  <w:r>
                    <w:t>участковой избирательной комиссии</w:t>
                  </w:r>
                  <w:r w:rsidRPr="005C5349">
                    <w:t>)</w:t>
                  </w:r>
                </w:p>
              </w:tc>
              <w:tc>
                <w:tcPr>
                  <w:tcW w:w="4535" w:type="dxa"/>
                  <w:gridSpan w:val="3"/>
                  <w:vAlign w:val="center"/>
                </w:tcPr>
                <w:p w:rsidR="00D6336C" w:rsidRPr="005C5349" w:rsidRDefault="00D6336C" w:rsidP="00F8460A">
                  <w:pPr>
                    <w:jc w:val="center"/>
                  </w:pPr>
                  <w:r w:rsidRPr="005C5349">
                    <w:t xml:space="preserve">Размер дополнительной оплаты труда за 1 час работы в </w:t>
                  </w:r>
                  <w:r>
                    <w:t>УИК</w:t>
                  </w:r>
                </w:p>
                <w:p w:rsidR="00D6336C" w:rsidRPr="005C5349" w:rsidRDefault="00D6336C" w:rsidP="00F8460A">
                  <w:pPr>
                    <w:jc w:val="center"/>
                  </w:pPr>
                  <w:r w:rsidRPr="005C5349">
                    <w:t xml:space="preserve"> (в руб.)</w:t>
                  </w:r>
                </w:p>
              </w:tc>
            </w:tr>
            <w:tr w:rsidR="00D6336C" w:rsidRPr="005C5349" w:rsidTr="00D6336C">
              <w:trPr>
                <w:cantSplit/>
                <w:trHeight w:val="322"/>
                <w:tblHeader/>
              </w:trPr>
              <w:tc>
                <w:tcPr>
                  <w:tcW w:w="540" w:type="dxa"/>
                  <w:vMerge/>
                  <w:vAlign w:val="center"/>
                </w:tcPr>
                <w:p w:rsidR="00D6336C" w:rsidRPr="005C5349" w:rsidRDefault="00D6336C" w:rsidP="00F8460A">
                  <w:pPr>
                    <w:jc w:val="center"/>
                  </w:pPr>
                </w:p>
              </w:tc>
              <w:tc>
                <w:tcPr>
                  <w:tcW w:w="3960" w:type="dxa"/>
                  <w:vMerge/>
                  <w:vAlign w:val="center"/>
                </w:tcPr>
                <w:p w:rsidR="00D6336C" w:rsidRPr="005C5349" w:rsidRDefault="00D6336C" w:rsidP="00F8460A"/>
              </w:tc>
              <w:tc>
                <w:tcPr>
                  <w:tcW w:w="1726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</w:pPr>
                  <w:r w:rsidRPr="005C5349">
                    <w:t xml:space="preserve">Председателя </w:t>
                  </w:r>
                  <w:r>
                    <w:t>УИК</w:t>
                  </w:r>
                  <w:r w:rsidRPr="005C5349">
                    <w:t>,</w:t>
                  </w:r>
                </w:p>
                <w:p w:rsidR="00D6336C" w:rsidRPr="005C5349" w:rsidRDefault="00D6336C" w:rsidP="00D6336C">
                  <w:pPr>
                    <w:jc w:val="center"/>
                  </w:pPr>
                  <w:r w:rsidRPr="005C5349"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:rsidR="00D6336C" w:rsidRPr="005C5349" w:rsidRDefault="00D6336C" w:rsidP="00D6336C">
                  <w:pPr>
                    <w:jc w:val="center"/>
                    <w:rPr>
                      <w:sz w:val="22"/>
                    </w:rPr>
                  </w:pPr>
                  <w:r w:rsidRPr="005C5349">
                    <w:rPr>
                      <w:sz w:val="22"/>
                    </w:rPr>
                    <w:t xml:space="preserve">Зам. председателя, секретаря </w:t>
                  </w:r>
                  <w:r>
                    <w:rPr>
                      <w:sz w:val="22"/>
                    </w:rPr>
                    <w:t>УИК</w:t>
                  </w:r>
                </w:p>
              </w:tc>
              <w:tc>
                <w:tcPr>
                  <w:tcW w:w="1250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</w:pPr>
                  <w:r w:rsidRPr="005C5349">
                    <w:t>Члена</w:t>
                  </w:r>
                </w:p>
                <w:p w:rsidR="00D6336C" w:rsidRPr="005C5349" w:rsidRDefault="00D6336C" w:rsidP="00F8460A">
                  <w:pPr>
                    <w:jc w:val="center"/>
                  </w:pPr>
                  <w:r>
                    <w:t>УИК</w:t>
                  </w:r>
                </w:p>
              </w:tc>
            </w:tr>
            <w:tr w:rsidR="00D6336C" w:rsidRPr="005C5349" w:rsidTr="00D6336C">
              <w:trPr>
                <w:trHeight w:val="322"/>
                <w:tblHeader/>
              </w:trPr>
              <w:tc>
                <w:tcPr>
                  <w:tcW w:w="540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  <w:rPr>
                      <w:sz w:val="20"/>
                      <w:szCs w:val="20"/>
                    </w:rPr>
                  </w:pPr>
                  <w:r w:rsidRPr="005C534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60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  <w:rPr>
                      <w:sz w:val="20"/>
                      <w:szCs w:val="20"/>
                    </w:rPr>
                  </w:pPr>
                  <w:r w:rsidRPr="005C534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6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  <w:rPr>
                      <w:sz w:val="20"/>
                      <w:szCs w:val="20"/>
                    </w:rPr>
                  </w:pPr>
                  <w:r w:rsidRPr="005C5349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  <w:rPr>
                      <w:sz w:val="20"/>
                      <w:szCs w:val="20"/>
                    </w:rPr>
                  </w:pPr>
                  <w:r w:rsidRPr="005C5349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0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  <w:rPr>
                      <w:sz w:val="20"/>
                      <w:szCs w:val="20"/>
                    </w:rPr>
                  </w:pPr>
                  <w:r w:rsidRPr="005C5349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D6336C" w:rsidRPr="005C5349" w:rsidTr="00D6336C">
              <w:tc>
                <w:tcPr>
                  <w:tcW w:w="540" w:type="dxa"/>
                  <w:vAlign w:val="center"/>
                </w:tcPr>
                <w:p w:rsidR="00D6336C" w:rsidRPr="005C5349" w:rsidRDefault="00D6336C" w:rsidP="00D633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3960" w:type="dxa"/>
                  <w:vAlign w:val="center"/>
                </w:tcPr>
                <w:p w:rsidR="00D6336C" w:rsidRPr="005C5349" w:rsidRDefault="00D6336C" w:rsidP="00D6336C">
                  <w:pPr>
                    <w:jc w:val="center"/>
                  </w:pPr>
                  <w:r>
                    <w:t>382, 383</w:t>
                  </w:r>
                </w:p>
              </w:tc>
              <w:tc>
                <w:tcPr>
                  <w:tcW w:w="1726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</w:pPr>
                  <w:r>
                    <w:t>35,00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</w:pPr>
                  <w:r>
                    <w:t>31,50</w:t>
                  </w:r>
                </w:p>
              </w:tc>
              <w:tc>
                <w:tcPr>
                  <w:tcW w:w="1250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</w:pPr>
                  <w:r>
                    <w:t>28,00</w:t>
                  </w:r>
                </w:p>
              </w:tc>
            </w:tr>
            <w:tr w:rsidR="00D6336C" w:rsidRPr="005C5349" w:rsidTr="00D6336C">
              <w:tc>
                <w:tcPr>
                  <w:tcW w:w="540" w:type="dxa"/>
                  <w:vAlign w:val="center"/>
                </w:tcPr>
                <w:p w:rsidR="00D6336C" w:rsidRPr="005C5349" w:rsidRDefault="00D6336C" w:rsidP="00D6336C">
                  <w:pPr>
                    <w:numPr>
                      <w:ilvl w:val="0"/>
                      <w:numId w:val="5"/>
                    </w:numPr>
                    <w:jc w:val="center"/>
                  </w:pPr>
                </w:p>
              </w:tc>
              <w:tc>
                <w:tcPr>
                  <w:tcW w:w="3960" w:type="dxa"/>
                  <w:vAlign w:val="center"/>
                </w:tcPr>
                <w:p w:rsidR="00D6336C" w:rsidRPr="005C5349" w:rsidRDefault="00D6336C" w:rsidP="00D6336C">
                  <w:pPr>
                    <w:pStyle w:val="a5"/>
                    <w:jc w:val="center"/>
                  </w:pPr>
                  <w:r>
                    <w:t>384-398</w:t>
                  </w:r>
                </w:p>
              </w:tc>
              <w:tc>
                <w:tcPr>
                  <w:tcW w:w="1726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</w:pPr>
                  <w:r>
                    <w:t>33,00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</w:pPr>
                  <w:r>
                    <w:t>29,70</w:t>
                  </w:r>
                </w:p>
              </w:tc>
              <w:tc>
                <w:tcPr>
                  <w:tcW w:w="1250" w:type="dxa"/>
                  <w:vAlign w:val="center"/>
                </w:tcPr>
                <w:p w:rsidR="00D6336C" w:rsidRPr="005C5349" w:rsidRDefault="00D6336C" w:rsidP="00F8460A">
                  <w:pPr>
                    <w:jc w:val="center"/>
                  </w:pPr>
                  <w:r>
                    <w:t>26,4</w:t>
                  </w:r>
                </w:p>
              </w:tc>
            </w:tr>
          </w:tbl>
          <w:p w:rsidR="00AB7027" w:rsidRPr="00401E04" w:rsidRDefault="00AB7027" w:rsidP="00D6336C">
            <w:pPr>
              <w:pStyle w:val="31"/>
              <w:spacing w:after="0" w:line="360" w:lineRule="auto"/>
              <w:ind w:right="-212"/>
              <w:jc w:val="both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887F58" w:rsidRDefault="00887F58" w:rsidP="00887F58">
      <w:pPr>
        <w:jc w:val="right"/>
        <w:rPr>
          <w:sz w:val="28"/>
          <w:szCs w:val="28"/>
        </w:rPr>
        <w:sectPr w:rsidR="00887F58" w:rsidSect="00D6336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978BB" w:rsidRPr="00566632" w:rsidRDefault="003978BB" w:rsidP="00887F58">
      <w:pPr>
        <w:rPr>
          <w:sz w:val="28"/>
          <w:szCs w:val="28"/>
        </w:rPr>
      </w:pPr>
    </w:p>
    <w:sectPr w:rsidR="003978BB" w:rsidRPr="00566632" w:rsidSect="00AE4E4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26" w:rsidRDefault="00074126">
      <w:r>
        <w:separator/>
      </w:r>
    </w:p>
  </w:endnote>
  <w:endnote w:type="continuationSeparator" w:id="1">
    <w:p w:rsidR="00074126" w:rsidRDefault="0007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26" w:rsidRDefault="00074126">
      <w:r>
        <w:separator/>
      </w:r>
    </w:p>
  </w:footnote>
  <w:footnote w:type="continuationSeparator" w:id="1">
    <w:p w:rsidR="00074126" w:rsidRDefault="0007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85" w:rsidRDefault="009A67F5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3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385" w:rsidRDefault="002223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9CE"/>
    <w:rsid w:val="00056BB8"/>
    <w:rsid w:val="00061149"/>
    <w:rsid w:val="000737FD"/>
    <w:rsid w:val="00074126"/>
    <w:rsid w:val="000769F2"/>
    <w:rsid w:val="000B231B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91A65"/>
    <w:rsid w:val="00293A36"/>
    <w:rsid w:val="002E1BB4"/>
    <w:rsid w:val="002E2364"/>
    <w:rsid w:val="0033484E"/>
    <w:rsid w:val="0036106D"/>
    <w:rsid w:val="0036425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4300"/>
    <w:rsid w:val="003E5F30"/>
    <w:rsid w:val="00401E04"/>
    <w:rsid w:val="004111A7"/>
    <w:rsid w:val="00421D8C"/>
    <w:rsid w:val="0042604A"/>
    <w:rsid w:val="0042740E"/>
    <w:rsid w:val="0043020E"/>
    <w:rsid w:val="0043769A"/>
    <w:rsid w:val="00450C98"/>
    <w:rsid w:val="004641F9"/>
    <w:rsid w:val="0046529B"/>
    <w:rsid w:val="00473463"/>
    <w:rsid w:val="00490639"/>
    <w:rsid w:val="00491098"/>
    <w:rsid w:val="004B6AB0"/>
    <w:rsid w:val="004B6C1B"/>
    <w:rsid w:val="004E7476"/>
    <w:rsid w:val="004F2B5E"/>
    <w:rsid w:val="004F67E4"/>
    <w:rsid w:val="00504875"/>
    <w:rsid w:val="00515887"/>
    <w:rsid w:val="005254B7"/>
    <w:rsid w:val="00526CBB"/>
    <w:rsid w:val="00552C40"/>
    <w:rsid w:val="00566632"/>
    <w:rsid w:val="00567A1C"/>
    <w:rsid w:val="00572BC8"/>
    <w:rsid w:val="005A3D0C"/>
    <w:rsid w:val="005A759B"/>
    <w:rsid w:val="005A7816"/>
    <w:rsid w:val="005E792D"/>
    <w:rsid w:val="005F1101"/>
    <w:rsid w:val="00600CD3"/>
    <w:rsid w:val="00604EC1"/>
    <w:rsid w:val="00612E95"/>
    <w:rsid w:val="00642E00"/>
    <w:rsid w:val="0064531C"/>
    <w:rsid w:val="00650257"/>
    <w:rsid w:val="0065579D"/>
    <w:rsid w:val="00657C09"/>
    <w:rsid w:val="00683DBB"/>
    <w:rsid w:val="00686B0C"/>
    <w:rsid w:val="00687B6E"/>
    <w:rsid w:val="006B31B8"/>
    <w:rsid w:val="006B6F6B"/>
    <w:rsid w:val="006C1FE2"/>
    <w:rsid w:val="006C4345"/>
    <w:rsid w:val="006C4F27"/>
    <w:rsid w:val="006D3293"/>
    <w:rsid w:val="006E5AE5"/>
    <w:rsid w:val="006E776B"/>
    <w:rsid w:val="006F61C7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43D1"/>
    <w:rsid w:val="008208F2"/>
    <w:rsid w:val="00820A46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65E9"/>
    <w:rsid w:val="008B030A"/>
    <w:rsid w:val="008D2145"/>
    <w:rsid w:val="008D5F88"/>
    <w:rsid w:val="008E00D9"/>
    <w:rsid w:val="008E1945"/>
    <w:rsid w:val="008F56B9"/>
    <w:rsid w:val="008F5C74"/>
    <w:rsid w:val="0091470D"/>
    <w:rsid w:val="009167AF"/>
    <w:rsid w:val="00930808"/>
    <w:rsid w:val="00935877"/>
    <w:rsid w:val="00936FFD"/>
    <w:rsid w:val="00937A77"/>
    <w:rsid w:val="009425A6"/>
    <w:rsid w:val="00942652"/>
    <w:rsid w:val="00942CDE"/>
    <w:rsid w:val="00952C09"/>
    <w:rsid w:val="00956607"/>
    <w:rsid w:val="00963D82"/>
    <w:rsid w:val="0096508A"/>
    <w:rsid w:val="00966C7C"/>
    <w:rsid w:val="00975FF5"/>
    <w:rsid w:val="00984597"/>
    <w:rsid w:val="0098549E"/>
    <w:rsid w:val="009967D4"/>
    <w:rsid w:val="009A41B0"/>
    <w:rsid w:val="009A67F5"/>
    <w:rsid w:val="009B523E"/>
    <w:rsid w:val="009C2A0D"/>
    <w:rsid w:val="009C5171"/>
    <w:rsid w:val="009C56A5"/>
    <w:rsid w:val="009D45EE"/>
    <w:rsid w:val="009D6A0E"/>
    <w:rsid w:val="009E273F"/>
    <w:rsid w:val="009E2D7E"/>
    <w:rsid w:val="00A030A8"/>
    <w:rsid w:val="00A12D94"/>
    <w:rsid w:val="00A13830"/>
    <w:rsid w:val="00A327C4"/>
    <w:rsid w:val="00A35822"/>
    <w:rsid w:val="00A36372"/>
    <w:rsid w:val="00A47BE7"/>
    <w:rsid w:val="00A57105"/>
    <w:rsid w:val="00A63BFB"/>
    <w:rsid w:val="00A73AF8"/>
    <w:rsid w:val="00A84CBB"/>
    <w:rsid w:val="00AB546C"/>
    <w:rsid w:val="00AB67E9"/>
    <w:rsid w:val="00AB7027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D40F7"/>
    <w:rsid w:val="00BF530C"/>
    <w:rsid w:val="00C04C6C"/>
    <w:rsid w:val="00C06683"/>
    <w:rsid w:val="00C1792F"/>
    <w:rsid w:val="00C20487"/>
    <w:rsid w:val="00C22002"/>
    <w:rsid w:val="00C35B35"/>
    <w:rsid w:val="00C432CD"/>
    <w:rsid w:val="00C47AD9"/>
    <w:rsid w:val="00C532E7"/>
    <w:rsid w:val="00C54EA0"/>
    <w:rsid w:val="00C56DC1"/>
    <w:rsid w:val="00C641FC"/>
    <w:rsid w:val="00C73E64"/>
    <w:rsid w:val="00C768F3"/>
    <w:rsid w:val="00C96EEC"/>
    <w:rsid w:val="00CA7CD9"/>
    <w:rsid w:val="00CB04BC"/>
    <w:rsid w:val="00CD102D"/>
    <w:rsid w:val="00CD37BB"/>
    <w:rsid w:val="00CD430D"/>
    <w:rsid w:val="00CD70AC"/>
    <w:rsid w:val="00CE39EE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7F72"/>
    <w:rsid w:val="00DB03C3"/>
    <w:rsid w:val="00DB15C9"/>
    <w:rsid w:val="00DB51AF"/>
    <w:rsid w:val="00DC5015"/>
    <w:rsid w:val="00DC6076"/>
    <w:rsid w:val="00DD164D"/>
    <w:rsid w:val="00DD4522"/>
    <w:rsid w:val="00DD59E3"/>
    <w:rsid w:val="00DD78DA"/>
    <w:rsid w:val="00DE4872"/>
    <w:rsid w:val="00DF3FF1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A6019"/>
    <w:rsid w:val="00EC3A2F"/>
    <w:rsid w:val="00EE401A"/>
    <w:rsid w:val="00F017D4"/>
    <w:rsid w:val="00F15003"/>
    <w:rsid w:val="00F312EE"/>
    <w:rsid w:val="00F32F0F"/>
    <w:rsid w:val="00F66142"/>
    <w:rsid w:val="00F73D10"/>
    <w:rsid w:val="00F96FED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4</cp:revision>
  <cp:lastPrinted>2016-07-12T07:22:00Z</cp:lastPrinted>
  <dcterms:created xsi:type="dcterms:W3CDTF">2016-08-02T07:47:00Z</dcterms:created>
  <dcterms:modified xsi:type="dcterms:W3CDTF">2016-08-02T08:20:00Z</dcterms:modified>
</cp:coreProperties>
</file>